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>Комитет по  социальной защите населения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spacing w:line="240" w:lineRule="auto"/>
        <w:ind w:left="72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  Ленинградской области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Ленинградское областное государственное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</w:t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стационарное бюджетное  учреждение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</w:t>
      </w:r>
    </w:p>
    <w:p w:rsidR="00AB1F48" w:rsidRPr="00AB1F48" w:rsidRDefault="00AB1F48" w:rsidP="00AB1F48">
      <w:pPr>
        <w:spacing w:line="240" w:lineRule="auto"/>
        <w:ind w:firstLine="720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социального обслуживания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tabs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«Всеволожский дом-интернат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</w:t>
      </w:r>
    </w:p>
    <w:p w:rsidR="00AB1F48" w:rsidRPr="00AB1F48" w:rsidRDefault="00AB1F48" w:rsidP="00AB1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для престарелых и инвалидов»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>-----------------------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b/>
          <w:bCs/>
          <w:i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     188683, Всеволожский район, пос. им. Свердлова,                                                  </w:t>
      </w:r>
      <w:r w:rsidRPr="00AB1F4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AB1F48">
        <w:rPr>
          <w:rFonts w:eastAsia="Times New Roman" w:cs="Times New Roman"/>
          <w:sz w:val="24"/>
          <w:szCs w:val="24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  <w:t xml:space="preserve">      </w:t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ind w:right="43" w:hanging="142"/>
        <w:outlineLvl w:val="0"/>
        <w:rPr>
          <w:rFonts w:eastAsia="Times New Roman" w:cs="Times New Roman"/>
          <w:b/>
          <w:bCs/>
          <w:iCs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ул. </w:t>
      </w:r>
      <w:proofErr w:type="gramStart"/>
      <w:r w:rsidRPr="00AB1F48">
        <w:rPr>
          <w:rFonts w:eastAsia="Times New Roman" w:cs="Times New Roman"/>
          <w:i/>
          <w:sz w:val="20"/>
          <w:szCs w:val="20"/>
          <w:lang w:eastAsia="ru-RU"/>
        </w:rPr>
        <w:t>Садовая</w:t>
      </w:r>
      <w:proofErr w:type="gramEnd"/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, дом № 13   Тел. 79-600,   Тел./факс 79-711                      </w:t>
      </w:r>
      <w:r w:rsidRPr="00AB1F48">
        <w:rPr>
          <w:rFonts w:eastAsia="Times New Roman" w:cs="Times New Roman"/>
          <w:b/>
          <w:bCs/>
          <w:iCs/>
          <w:sz w:val="20"/>
          <w:szCs w:val="20"/>
          <w:lang w:eastAsia="ru-RU"/>
        </w:rPr>
        <w:t xml:space="preserve">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ИНН: 4703010465 КПП 470301001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="00983205">
        <w:rPr>
          <w:rFonts w:eastAsia="Times New Roman" w:cs="Times New Roman"/>
          <w:sz w:val="20"/>
          <w:szCs w:val="20"/>
          <w:lang w:eastAsia="ru-RU"/>
        </w:rPr>
        <w:t xml:space="preserve"> От 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24/09/2021</w:t>
      </w:r>
      <w:r w:rsidR="0025031A">
        <w:rPr>
          <w:rFonts w:eastAsia="Times New Roman" w:cs="Times New Roman"/>
          <w:sz w:val="20"/>
          <w:szCs w:val="20"/>
          <w:lang w:eastAsia="ru-RU"/>
        </w:rPr>
        <w:t xml:space="preserve"> №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330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p w:rsidR="00F53E06" w:rsidRDefault="00AB1F48" w:rsidP="00A55FA9">
      <w:pPr>
        <w:spacing w:line="240" w:lineRule="auto"/>
        <w:ind w:right="43"/>
        <w:jc w:val="both"/>
        <w:outlineLvl w:val="0"/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3E06" w:rsidRPr="00F53E06" w:rsidTr="0055601B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</w:t>
            </w:r>
          </w:p>
        </w:tc>
      </w:tr>
      <w:tr w:rsidR="00F53E06" w:rsidRPr="00F53E06" w:rsidTr="0055601B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ЛОГБУ «Всеволожский ДИ»</w:t>
            </w:r>
          </w:p>
        </w:tc>
      </w:tr>
      <w:tr w:rsidR="00F53E06" w:rsidRPr="00F53E06" w:rsidTr="0055601B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i/>
                <w:sz w:val="26"/>
                <w:szCs w:val="26"/>
              </w:rPr>
            </w:pPr>
            <w:r w:rsidRPr="00F53E06">
              <w:rPr>
                <w:b/>
                <w:i/>
                <w:sz w:val="26"/>
                <w:szCs w:val="26"/>
              </w:rPr>
              <w:t>(наименование учреждения)</w:t>
            </w:r>
          </w:p>
        </w:tc>
      </w:tr>
      <w:tr w:rsidR="00F53E06" w:rsidRPr="00F53E06" w:rsidTr="0055601B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о выполнении Ведомственного плана по противодействию коррупции </w:t>
            </w:r>
          </w:p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в комитете по социальной защите населения Ленинградской области </w:t>
            </w:r>
          </w:p>
          <w:p w:rsidR="00F53E06" w:rsidRPr="00F53E06" w:rsidRDefault="00F53E06" w:rsidP="0055601B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на 202</w:t>
            </w:r>
            <w:r w:rsidR="00B02398">
              <w:rPr>
                <w:b/>
                <w:sz w:val="26"/>
                <w:szCs w:val="26"/>
              </w:rPr>
              <w:t>2</w:t>
            </w:r>
            <w:r w:rsidRPr="00F53E06">
              <w:rPr>
                <w:b/>
                <w:sz w:val="26"/>
                <w:szCs w:val="26"/>
              </w:rPr>
              <w:t xml:space="preserve"> год за </w:t>
            </w:r>
            <w:r w:rsidR="0055601B">
              <w:rPr>
                <w:b/>
                <w:sz w:val="26"/>
                <w:szCs w:val="26"/>
              </w:rPr>
              <w:t>2</w:t>
            </w:r>
            <w:r w:rsidRPr="00F53E06">
              <w:rPr>
                <w:b/>
                <w:sz w:val="26"/>
                <w:szCs w:val="26"/>
              </w:rPr>
              <w:t xml:space="preserve"> квартал 202</w:t>
            </w:r>
            <w:r w:rsidR="00B02398">
              <w:rPr>
                <w:b/>
                <w:sz w:val="26"/>
                <w:szCs w:val="26"/>
              </w:rPr>
              <w:t>2</w:t>
            </w:r>
            <w:r w:rsidRPr="00F53E06"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 w:rsidR="00F53E06" w:rsidRPr="00F53E06" w:rsidRDefault="00F53E06" w:rsidP="00F53E06">
      <w:pPr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5.6: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p w:rsidR="00F53E06" w:rsidRDefault="0055601B" w:rsidP="00F53E06">
      <w:pPr>
        <w:spacing w:after="200"/>
        <w:jc w:val="both"/>
      </w:pPr>
      <w:r>
        <w:t xml:space="preserve">Во втором </w:t>
      </w:r>
      <w:r w:rsidR="00F53E06">
        <w:t>квартале 202</w:t>
      </w:r>
      <w:r w:rsidR="00B02398">
        <w:t>2</w:t>
      </w:r>
      <w:r w:rsidR="00F53E06">
        <w:t xml:space="preserve"> года п</w:t>
      </w:r>
      <w:r w:rsidR="00F53E06" w:rsidRPr="00FF796D">
        <w:t>роведена работа, направленная на выявление и предупреждение конфликта интересов у следующих категорий работников</w:t>
      </w:r>
      <w:r w:rsidR="00F53E06">
        <w:t>: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Заместитель директора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Главный бухгалтер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Бухгалтер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Экономист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Юрисконсульт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Специалист по кадрам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Делопроизводитель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Начальник хозяйственного отдела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Специалист по охране труда       </w:t>
      </w:r>
    </w:p>
    <w:p w:rsidR="00D94D6D" w:rsidRDefault="00F53E06" w:rsidP="00D94D6D">
      <w:pPr>
        <w:pStyle w:val="a4"/>
        <w:spacing w:after="200"/>
        <w:ind w:left="0"/>
        <w:jc w:val="both"/>
      </w:pPr>
      <w:r>
        <w:t>В ходе проверки сведений, содержащихся в декларациях, наличия конфликта интересов не выявлено.</w:t>
      </w:r>
      <w:r w:rsidR="00172323">
        <w:t xml:space="preserve"> </w:t>
      </w:r>
    </w:p>
    <w:p w:rsidR="00B02398" w:rsidRPr="00B02398" w:rsidRDefault="00B02398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</w:p>
    <w:p w:rsidR="00F53E06" w:rsidRPr="00F53E06" w:rsidRDefault="00F53E06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5.7:</w:t>
      </w:r>
    </w:p>
    <w:p w:rsidR="00F53E06" w:rsidRPr="00F53E06" w:rsidRDefault="00F53E06" w:rsidP="00F53E06">
      <w:pPr>
        <w:jc w:val="both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5601B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Перечисляются все мероприятия вашего плана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 xml:space="preserve">Организация и осуществление закупок товаров, работ и услуг для обеспечения нужд учреждения, включая исполнение  контрактов и приемку </w:t>
            </w:r>
            <w:r w:rsidRPr="00E813C4">
              <w:rPr>
                <w:rFonts w:cs="Times New Roman"/>
                <w:szCs w:val="28"/>
              </w:rPr>
              <w:lastRenderedPageBreak/>
              <w:t>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исполнению</w:t>
            </w:r>
          </w:p>
          <w:p w:rsidR="00D82800" w:rsidRPr="00E813C4" w:rsidRDefault="00D82800" w:rsidP="005560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плана финансово-хозяйственной</w:t>
            </w:r>
            <w:r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деятельности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Размещение заказов на поставку товаров, выполнение работ, оказание услуг для нужд учреждения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оказанию социальных услуг населению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Защита прав и законных интересов в судах общей юрисдикции, арбитражном суде, других органах.</w:t>
            </w:r>
          </w:p>
        </w:tc>
        <w:tc>
          <w:tcPr>
            <w:tcW w:w="3474" w:type="dxa"/>
          </w:tcPr>
          <w:p w:rsidR="00D82800" w:rsidRDefault="00D82800" w:rsidP="0055601B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Хозяйственная деятельность</w:t>
            </w:r>
          </w:p>
        </w:tc>
        <w:tc>
          <w:tcPr>
            <w:tcW w:w="3474" w:type="dxa"/>
          </w:tcPr>
          <w:p w:rsidR="00D82800" w:rsidRDefault="00D82800" w:rsidP="0055601B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bCs/>
                <w:color w:val="000000"/>
                <w:szCs w:val="28"/>
                <w:u w:color="000000"/>
                <w:bdr w:val="nil"/>
                <w:lang w:eastAsia="ru-RU"/>
              </w:rPr>
              <w:t>Кадровая деятельность</w:t>
            </w:r>
          </w:p>
        </w:tc>
        <w:tc>
          <w:tcPr>
            <w:tcW w:w="3474" w:type="dxa"/>
          </w:tcPr>
          <w:p w:rsidR="00D82800" w:rsidRDefault="00D82800" w:rsidP="0055601B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Default="00D82800" w:rsidP="0055601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272" w:type="dxa"/>
          </w:tcPr>
          <w:p w:rsidR="00D82800" w:rsidRPr="00E813C4" w:rsidRDefault="00D82800" w:rsidP="0055601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Организация деятельности учреждения</w:t>
            </w:r>
          </w:p>
        </w:tc>
        <w:tc>
          <w:tcPr>
            <w:tcW w:w="3474" w:type="dxa"/>
          </w:tcPr>
          <w:p w:rsidR="00D82800" w:rsidRDefault="00D82800" w:rsidP="0055601B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5.15: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5601B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Перечисляются все мероприятия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5601B">
            <w:pPr>
              <w:jc w:val="both"/>
            </w:pPr>
            <w:r w:rsidRPr="00906774">
              <w:t>Ведение Журнала учета регистраций заявлений о коррупционном правонарушении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За отчетный период заявления не поступили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D82800" w:rsidRPr="00906774" w:rsidRDefault="00D82800" w:rsidP="0055601B">
            <w:pPr>
              <w:jc w:val="both"/>
            </w:pPr>
            <w:r w:rsidRPr="00906774"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D82800" w:rsidRPr="00906774" w:rsidRDefault="00D82800" w:rsidP="0055601B">
            <w:pPr>
              <w:jc w:val="both"/>
            </w:pPr>
            <w:r w:rsidRPr="00906774">
              <w:t xml:space="preserve">Осуществление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финансово-хозяйственной деятельностью учреждения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5601B">
        <w:tc>
          <w:tcPr>
            <w:tcW w:w="675" w:type="dxa"/>
          </w:tcPr>
          <w:p w:rsidR="00D82800" w:rsidRPr="004F66B3" w:rsidRDefault="00D82800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5601B">
            <w:pPr>
              <w:jc w:val="both"/>
            </w:pPr>
            <w:r w:rsidRPr="00906774">
              <w:t>Ежеквартальное предоставление в отдел правового обеспечения сведений о результатах реализации</w:t>
            </w:r>
          </w:p>
          <w:p w:rsidR="00D82800" w:rsidRPr="00906774" w:rsidRDefault="00D82800" w:rsidP="0055601B">
            <w:pPr>
              <w:jc w:val="both"/>
            </w:pPr>
            <w:r w:rsidRPr="00906774">
              <w:t xml:space="preserve">мероприятий, предусмотренных планом. </w:t>
            </w:r>
          </w:p>
        </w:tc>
        <w:tc>
          <w:tcPr>
            <w:tcW w:w="3474" w:type="dxa"/>
          </w:tcPr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  <w:p w:rsidR="00D82800" w:rsidRPr="00906774" w:rsidRDefault="00D8280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906774">
              <w:t>Строгое соблюдение сотрудниками запрета на дарение и получение подарков.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3B479E">
              <w:rPr>
                <w:rFonts w:eastAsia="Times New Roman" w:cs="Times New Roman"/>
                <w:szCs w:val="28"/>
                <w:lang w:eastAsia="ru-RU"/>
              </w:rPr>
              <w:t>Представление  в  отдел правового обеспечения Комитета по социальной защите населения  Ленинградской области  уведомлений  о конфликте интересов, при наличии фактов работы 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906774">
              <w:t>Представление в Комитет по социальной защите населения Ленинградской области сообщений о своей заинтересованности, лицами, указанными в ст. 27 Федерального закона от 12 января 1996 года № 7-ФЗ «О некоммерческих организациях» или ст. 16 Федерального закона от 03.11.2006 №174-ФЗ «Об автономных учреждениях»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 отчетный период не выявлено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 w:rsidRPr="00906774">
              <w:t>При выявлении информации о фактах коррупционных преступлениях, незамедлительно предоставлять указанную информацию в Следственное управление Следственного комитета Российской Федерации по Ленинградской области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Фактов коррупционных преступлений за отчетный период не выявлено.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5601B">
            <w:pPr>
              <w:jc w:val="both"/>
            </w:pPr>
            <w:r>
              <w:rPr>
                <w:rFonts w:cs="Times New Roman"/>
                <w:szCs w:val="28"/>
              </w:rPr>
              <w:t>Заполнение Декларации конфликта интересов сотрудниками учреждения, включенными по должностям в Карту коррупционных рисков учреждения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  <w:vAlign w:val="center"/>
          </w:tcPr>
          <w:p w:rsidR="00391460" w:rsidRDefault="00391460" w:rsidP="0011052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в отдел правового обеспечения Комитета по социальной защите населения Ленинградской области информации о наличии (отсутствии) сообщений о коррупционных проявлениях</w:t>
            </w:r>
          </w:p>
        </w:tc>
        <w:tc>
          <w:tcPr>
            <w:tcW w:w="3474" w:type="dxa"/>
          </w:tcPr>
          <w:p w:rsidR="00391460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391460" w:rsidRDefault="00391460" w:rsidP="0055601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информации о реализации протокола №1/19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474" w:type="dxa"/>
          </w:tcPr>
          <w:p w:rsidR="00391460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4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Обеспечение соблюдений положений кодекса этики и служебного поведения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t>Осуществляется постоянный контроль.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5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Размещение на официальном сайте учреждения информативно-правовых актов и иных материалов по антикоррупционной тематике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6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Обеспечение защиты персональных данных сотрудников учреждения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7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Принятие мер, направленных на решение </w:t>
            </w:r>
            <w:r w:rsidRPr="00906774">
              <w:lastRenderedPageBreak/>
              <w:t xml:space="preserve">вопросов, касающихся борьбы с коррупцией, по результатам проверок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lastRenderedPageBreak/>
              <w:t xml:space="preserve">Не требовалось 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94D6D">
              <w:rPr>
                <w:sz w:val="24"/>
              </w:rPr>
              <w:t>8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proofErr w:type="gramStart"/>
            <w:r w:rsidRPr="00906774">
              <w:t>Контроль за</w:t>
            </w:r>
            <w:proofErr w:type="gramEnd"/>
            <w:r w:rsidRPr="00906774">
              <w:t xml:space="preserve"> целевым использованием средств бюджета и внебюджетных средств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Проведение анализа нарушений работниками Правил внутреннего трудового распорядка, положений Кодекса этики и служебного поведения 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Нарушений  в отчетном периоде не выявлено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>Проведение, в случае выявления в ходе работы, деяний коррупционной направленности со стороны сотрудников учреждения</w:t>
            </w:r>
            <w:proofErr w:type="gramStart"/>
            <w:r w:rsidRPr="00906774">
              <w:t xml:space="preserve"> ,</w:t>
            </w:r>
            <w:proofErr w:type="gramEnd"/>
            <w:r w:rsidRPr="00906774">
              <w:t xml:space="preserve"> служебных расследований. Материалы расследований, при необходимости, направлять в правоохранительные органы.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Не требовалось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Проведение работы направленной на выявление и предупреждение конфликта интересов у следующих категорий работников: </w:t>
            </w:r>
          </w:p>
          <w:p w:rsidR="00391460" w:rsidRPr="00906774" w:rsidRDefault="00391460" w:rsidP="0055601B">
            <w:pPr>
              <w:jc w:val="both"/>
            </w:pPr>
            <w:r w:rsidRPr="00906774">
              <w:t>-заместители директора;</w:t>
            </w:r>
          </w:p>
          <w:p w:rsidR="00391460" w:rsidRPr="00906774" w:rsidRDefault="00391460" w:rsidP="0055601B">
            <w:pPr>
              <w:jc w:val="both"/>
            </w:pPr>
            <w:r w:rsidRPr="00906774">
              <w:t>-главный бухгалтер;</w:t>
            </w:r>
          </w:p>
          <w:p w:rsidR="00391460" w:rsidRPr="00906774" w:rsidRDefault="00391460" w:rsidP="0055601B">
            <w:pPr>
              <w:jc w:val="both"/>
            </w:pPr>
            <w:r w:rsidRPr="00906774">
              <w:t>-работники, связанные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 (конфликт интересов не обнаружен)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 за</w:t>
            </w:r>
            <w:proofErr w:type="gramEnd"/>
            <w:r w:rsidRPr="00906774">
              <w:t xml:space="preserve"> выполнением требований, установленных  Федеральным законом  РФ  44-ФЗ  от 05.04.2013 г. «О контрактной системе в сфере товаров, работ, услуг для обеспечения государственных и муниципальных нужд»</w:t>
            </w:r>
          </w:p>
          <w:p w:rsidR="00391460" w:rsidRPr="00906774" w:rsidRDefault="00391460" w:rsidP="0055601B">
            <w:pPr>
              <w:jc w:val="both"/>
            </w:pPr>
            <w:r w:rsidRPr="00906774">
              <w:t>Приведение в соответствие с требованиями федерального закона от 18.07.2011 №223-ФЗ «О закупках товаров, работ, услуг отдельными видами юридических лиц» положений о закупках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55601B">
        <w:tc>
          <w:tcPr>
            <w:tcW w:w="675" w:type="dxa"/>
          </w:tcPr>
          <w:p w:rsidR="00391460" w:rsidRPr="004F66B3" w:rsidRDefault="00D94D6D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72" w:type="dxa"/>
          </w:tcPr>
          <w:p w:rsidR="00391460" w:rsidRPr="00906774" w:rsidRDefault="00391460" w:rsidP="0055601B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выполнением мероприятий, предусмотренных настоящим планом</w:t>
            </w:r>
          </w:p>
        </w:tc>
        <w:tc>
          <w:tcPr>
            <w:tcW w:w="3474" w:type="dxa"/>
          </w:tcPr>
          <w:p w:rsidR="00391460" w:rsidRPr="00906774" w:rsidRDefault="00391460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110525" w:rsidRPr="00F53E06" w:rsidTr="0055601B">
        <w:tc>
          <w:tcPr>
            <w:tcW w:w="675" w:type="dxa"/>
          </w:tcPr>
          <w:p w:rsidR="00110525" w:rsidRDefault="00110525" w:rsidP="0055601B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72" w:type="dxa"/>
          </w:tcPr>
          <w:p w:rsidR="00110525" w:rsidRPr="00906774" w:rsidRDefault="00110525" w:rsidP="0055601B">
            <w:pPr>
              <w:jc w:val="both"/>
            </w:pPr>
            <w:r>
              <w:t>Проведение семинара для сотрудников «О соблюдении запрета на дарение и получение подарка», в том числе с учетом материалов, размещённых в разделе «Противодействие коррупции» сайта Генеральной прокуратуры РФ</w:t>
            </w:r>
          </w:p>
        </w:tc>
        <w:tc>
          <w:tcPr>
            <w:tcW w:w="3474" w:type="dxa"/>
          </w:tcPr>
          <w:p w:rsidR="00110525" w:rsidRPr="00906774" w:rsidRDefault="00110525" w:rsidP="0055601B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860742" w:rsidTr="00860742">
        <w:tc>
          <w:tcPr>
            <w:tcW w:w="675" w:type="dxa"/>
            <w:hideMark/>
          </w:tcPr>
          <w:p w:rsidR="00860742" w:rsidRDefault="00860742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6272" w:type="dxa"/>
            <w:hideMark/>
          </w:tcPr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Тестирование сотрудников на знание законодательства о противодействии коррупции.</w:t>
            </w:r>
          </w:p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 отчета о результатах тестирования в комитет</w:t>
            </w:r>
          </w:p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Принятие организационных мер по результатам тестирования</w:t>
            </w:r>
          </w:p>
        </w:tc>
        <w:tc>
          <w:tcPr>
            <w:tcW w:w="3474" w:type="dxa"/>
            <w:hideMark/>
          </w:tcPr>
          <w:p w:rsidR="00860742" w:rsidRDefault="00860742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5.17:</w:t>
      </w:r>
    </w:p>
    <w:p w:rsidR="00F53E06" w:rsidRPr="00F53E06" w:rsidRDefault="00F53E06" w:rsidP="00F53E06">
      <w:pPr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5601B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Перечисляется каждый пункт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 w:rsidRPr="002A57CF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</w:tcPr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учета, экономической обоснованности расходов в сферах с высоким коррупционным риском;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о мерах ответственности за совершение коррупционных правонарушений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Нормативное регулирование и соблюдение требований законодательства о закупках;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учреждения: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szCs w:val="28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Организация внутреннего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исполнением работниками должностных обязанностей, основанного на механизме проверочных мероприятий;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использование информационных технологий в качестве приоритетного направления для осуществления служебной деятельности (система электронного обмена информацией);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5601B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A57CF" w:rsidRPr="002A57CF" w:rsidRDefault="002A57CF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5601B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Своевременное проведение инвентаризации, обеспечение повышенного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lastRenderedPageBreak/>
              <w:t>проведением инвентаризации;</w:t>
            </w:r>
          </w:p>
          <w:p w:rsidR="002A57CF" w:rsidRPr="002A57CF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 законодательства по противодействию коррупции, мер ответственности за совершение коррупционны</w:t>
            </w:r>
            <w:r w:rsidR="00860742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</w:t>
            </w: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lastRenderedPageBreak/>
              <w:t>Выполнено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Введение механизма конкурсного отбора на замещение должностей;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Контроль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соответствием лица, претендующего на замещение должности, предъявляемым квалификационным требованиям;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5601B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заключение контрактов с единственным поставщиком (исполнителем, подрядчиком) по п.9 ч.1 ст.93 ФЗ от 05.04.2013 №44-ФЗ «О контрактной системе в сфере закупок товаров, работ, услуг для обеспечения государственных и муниципальных нужд» при отсутствии оснований, предусмотренных законодательством о контрактной системе</w:t>
            </w:r>
          </w:p>
        </w:tc>
        <w:tc>
          <w:tcPr>
            <w:tcW w:w="3474" w:type="dxa"/>
          </w:tcPr>
          <w:p w:rsidR="00F53E06" w:rsidRPr="00F53E06" w:rsidRDefault="00D82800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5601B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необоснованное «дробление закупок» с целью заключения договоров по </w:t>
            </w:r>
            <w:r w:rsidR="00CE37C8" w:rsidRPr="002A57CF">
              <w:rPr>
                <w:szCs w:val="28"/>
              </w:rPr>
              <w:t>п.4, п.5 и п.28 ч. 1 ст. 93 Закона о контрактной системе</w:t>
            </w:r>
          </w:p>
        </w:tc>
        <w:tc>
          <w:tcPr>
            <w:tcW w:w="3474" w:type="dxa"/>
          </w:tcPr>
          <w:p w:rsidR="00F53E06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</w:tcPr>
          <w:p w:rsidR="00CE37C8" w:rsidRPr="002A57CF" w:rsidRDefault="00CE37C8" w:rsidP="00CE37C8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установление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 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</w:tcPr>
          <w:p w:rsidR="00CE37C8" w:rsidRPr="002A57CF" w:rsidRDefault="00CE37C8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установление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Рекомендовать закупки на выполнение работ и оказание услуг, начальная (максимальная) цена которых не превышает 10 млн. руб., осуществлять в соответствии с п. 1 ч. 3 </w:t>
            </w:r>
            <w:proofErr w:type="spellStart"/>
            <w:proofErr w:type="gramStart"/>
            <w:r w:rsidRPr="002A57CF">
              <w:rPr>
                <w:szCs w:val="28"/>
              </w:rPr>
              <w:t>ст</w:t>
            </w:r>
            <w:proofErr w:type="spellEnd"/>
            <w:proofErr w:type="gramEnd"/>
            <w:r w:rsidRPr="002A57CF">
              <w:rPr>
                <w:szCs w:val="28"/>
              </w:rPr>
              <w:t xml:space="preserve"> 66 Закона о контрактной системе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</w:tcPr>
          <w:p w:rsidR="00CE37C8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Рекомендовать использовать проведение </w:t>
            </w:r>
            <w:r w:rsidRPr="002A57CF">
              <w:rPr>
                <w:szCs w:val="28"/>
              </w:rPr>
              <w:lastRenderedPageBreak/>
              <w:t>совместных торгов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Выполнено </w:t>
            </w:r>
          </w:p>
        </w:tc>
      </w:tr>
      <w:tr w:rsidR="00CE37C8" w:rsidRPr="00F53E06" w:rsidTr="0055601B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proofErr w:type="gramStart"/>
            <w:r w:rsidRPr="002A57CF">
              <w:rPr>
                <w:szCs w:val="28"/>
              </w:rPr>
              <w:t xml:space="preserve">Рекомендовать при закупке лекарственных средств формировать предмет и объем закупки с учетом положений п.6 ч. 1 ст. 33 Закона о контрактной системе (лекарственные средства с различными международными непатентованными наименованиями при отсутствии таких наименований с химическими, </w:t>
            </w:r>
            <w:proofErr w:type="spellStart"/>
            <w:r w:rsidRPr="002A57CF">
              <w:rPr>
                <w:szCs w:val="28"/>
              </w:rPr>
              <w:t>группировочными</w:t>
            </w:r>
            <w:proofErr w:type="spellEnd"/>
            <w:r w:rsidRPr="002A57CF">
              <w:rPr>
                <w:szCs w:val="28"/>
              </w:rPr>
              <w:t xml:space="preserve"> наименованиями при условии, что начальная  (максимальная) цена контракта не превышает предельное значение,  установленное Правительством РФ</w:t>
            </w:r>
            <w:proofErr w:type="gramEnd"/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5601B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272" w:type="dxa"/>
          </w:tcPr>
          <w:p w:rsidR="00641286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осуществлять часть закупок с использованием разработанных и утвержденных на федеральном уровне типовых контрактов и типовых условий контрактов</w:t>
            </w:r>
          </w:p>
        </w:tc>
        <w:tc>
          <w:tcPr>
            <w:tcW w:w="3474" w:type="dxa"/>
          </w:tcPr>
          <w:p w:rsidR="00641286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5601B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дополнительно информировать потенциальных участников закупок об осуществлении закупок, размещать сведения о проводимых торгах в открытых информационных ресурсах, в том числе на официальных сайтах органов исполнительной власти и государственных организаций в информационно-телекоммуникационной сети «Интернет»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5601B">
        <w:tc>
          <w:tcPr>
            <w:tcW w:w="675" w:type="dxa"/>
          </w:tcPr>
          <w:p w:rsidR="00641286" w:rsidRDefault="00A55FA9" w:rsidP="002A57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7CF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использовать единые подходы по формированию и описанию объекта закупок на закупку однотипных товаров.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</w:tbl>
    <w:p w:rsidR="005D7B5B" w:rsidRDefault="005D7B5B" w:rsidP="005D7B5B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5.16:</w:t>
      </w:r>
    </w:p>
    <w:p w:rsidR="005D7B5B" w:rsidRPr="00F53E06" w:rsidRDefault="005D7B5B" w:rsidP="005D7B5B">
      <w:pPr>
        <w:jc w:val="both"/>
        <w:rPr>
          <w:sz w:val="26"/>
          <w:szCs w:val="26"/>
        </w:rPr>
      </w:pPr>
    </w:p>
    <w:p w:rsidR="005D7B5B" w:rsidRDefault="005D7B5B" w:rsidP="005D7B5B">
      <w:pPr>
        <w:jc w:val="both"/>
      </w:pPr>
      <w:r>
        <w:t xml:space="preserve">За </w:t>
      </w:r>
      <w:r w:rsidR="0055601B">
        <w:t>2</w:t>
      </w:r>
      <w:r>
        <w:t xml:space="preserve"> квартал 2022 года жалоб и обращений граждан на предмет наличия сведений о фактах коррупции в ЛОГБУ «Всеволожский ДИ» не поступало. Случаев обращений к работникам учреждения в целях склонения их к совершению коррупционных правонарушений установлено не было. Информация в правоохранительные органы о совершении коррупционных правонарушений работниками учреждения влекущих уголовную и административную ответственность не направлялась.</w:t>
      </w:r>
    </w:p>
    <w:p w:rsidR="00983205" w:rsidRDefault="00983205" w:rsidP="00E813C4">
      <w:pPr>
        <w:pStyle w:val="a4"/>
        <w:spacing w:after="200"/>
        <w:ind w:left="0"/>
        <w:jc w:val="both"/>
      </w:pPr>
    </w:p>
    <w:p w:rsidR="00983205" w:rsidRDefault="00983205" w:rsidP="00E813C4">
      <w:pPr>
        <w:pStyle w:val="a4"/>
        <w:spacing w:after="200"/>
        <w:ind w:left="0"/>
        <w:jc w:val="both"/>
      </w:pPr>
    </w:p>
    <w:p w:rsidR="00E813C4" w:rsidRDefault="00391460" w:rsidP="00E813C4">
      <w:pPr>
        <w:pStyle w:val="a4"/>
        <w:spacing w:after="200"/>
        <w:ind w:left="0"/>
        <w:jc w:val="both"/>
      </w:pPr>
      <w:proofErr w:type="spellStart"/>
      <w:r>
        <w:t>И.о</w:t>
      </w:r>
      <w:proofErr w:type="gramStart"/>
      <w:r>
        <w:t>.д</w:t>
      </w:r>
      <w:proofErr w:type="gramEnd"/>
      <w:r w:rsidR="00E813C4">
        <w:t>иректор</w:t>
      </w:r>
      <w:r>
        <w:t>а</w:t>
      </w:r>
      <w:proofErr w:type="spellEnd"/>
      <w:r w:rsidR="00E813C4">
        <w:t xml:space="preserve"> ЛОГБУ «Всеволожский ДИ»                                         </w:t>
      </w:r>
      <w:r>
        <w:t>В.А. Федотов</w:t>
      </w:r>
    </w:p>
    <w:p w:rsidR="00E813C4" w:rsidRDefault="00E813C4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</w:pPr>
      <w:bookmarkStart w:id="0" w:name="_GoBack"/>
      <w:bookmarkEnd w:id="0"/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E813C4" w:rsidRPr="009C099F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813C4" w:rsidRPr="009C099F">
        <w:rPr>
          <w:sz w:val="20"/>
          <w:szCs w:val="20"/>
        </w:rPr>
        <w:t>сп. Смирнова Т.Н.</w:t>
      </w:r>
    </w:p>
    <w:p w:rsidR="00E813C4" w:rsidRPr="009C099F" w:rsidRDefault="00E813C4" w:rsidP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88137079015</w:t>
      </w:r>
    </w:p>
    <w:p w:rsidR="00E813C4" w:rsidRDefault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89111843178</w:t>
      </w:r>
    </w:p>
    <w:sectPr w:rsidR="00E813C4" w:rsidSect="00983205">
      <w:pgSz w:w="11906" w:h="16838"/>
      <w:pgMar w:top="1134" w:right="567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89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136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046"/>
    <w:multiLevelType w:val="hybridMultilevel"/>
    <w:tmpl w:val="E492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928"/>
    <w:multiLevelType w:val="hybridMultilevel"/>
    <w:tmpl w:val="C584D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65A7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CA0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6"/>
    <w:rsid w:val="00031D16"/>
    <w:rsid w:val="00051397"/>
    <w:rsid w:val="0008077F"/>
    <w:rsid w:val="00110525"/>
    <w:rsid w:val="00172323"/>
    <w:rsid w:val="002005AC"/>
    <w:rsid w:val="0025031A"/>
    <w:rsid w:val="00276061"/>
    <w:rsid w:val="002A57CF"/>
    <w:rsid w:val="002A6A11"/>
    <w:rsid w:val="002D623F"/>
    <w:rsid w:val="002E1833"/>
    <w:rsid w:val="003222CD"/>
    <w:rsid w:val="00361A59"/>
    <w:rsid w:val="0037077C"/>
    <w:rsid w:val="00376045"/>
    <w:rsid w:val="0038633D"/>
    <w:rsid w:val="00391460"/>
    <w:rsid w:val="004F66B3"/>
    <w:rsid w:val="00512A51"/>
    <w:rsid w:val="0055601B"/>
    <w:rsid w:val="005864DE"/>
    <w:rsid w:val="00596EC1"/>
    <w:rsid w:val="005D7B5B"/>
    <w:rsid w:val="006063E3"/>
    <w:rsid w:val="006113FA"/>
    <w:rsid w:val="00617457"/>
    <w:rsid w:val="00626B9A"/>
    <w:rsid w:val="00631B2D"/>
    <w:rsid w:val="00641286"/>
    <w:rsid w:val="00777BD2"/>
    <w:rsid w:val="007B0433"/>
    <w:rsid w:val="007B2830"/>
    <w:rsid w:val="008501C6"/>
    <w:rsid w:val="00860742"/>
    <w:rsid w:val="00867C9F"/>
    <w:rsid w:val="008D2091"/>
    <w:rsid w:val="008F6A59"/>
    <w:rsid w:val="00956CB6"/>
    <w:rsid w:val="00983205"/>
    <w:rsid w:val="009B0A28"/>
    <w:rsid w:val="009C099F"/>
    <w:rsid w:val="00A55FA9"/>
    <w:rsid w:val="00AB1F48"/>
    <w:rsid w:val="00AB41DF"/>
    <w:rsid w:val="00AC350A"/>
    <w:rsid w:val="00AE01A5"/>
    <w:rsid w:val="00B02398"/>
    <w:rsid w:val="00B44880"/>
    <w:rsid w:val="00BA4309"/>
    <w:rsid w:val="00C64D0F"/>
    <w:rsid w:val="00CE37C8"/>
    <w:rsid w:val="00D34001"/>
    <w:rsid w:val="00D37C08"/>
    <w:rsid w:val="00D47678"/>
    <w:rsid w:val="00D568C5"/>
    <w:rsid w:val="00D82800"/>
    <w:rsid w:val="00D94D6D"/>
    <w:rsid w:val="00DF505A"/>
    <w:rsid w:val="00E813C4"/>
    <w:rsid w:val="00F53E06"/>
    <w:rsid w:val="00F66B0F"/>
    <w:rsid w:val="00F83A0B"/>
    <w:rsid w:val="00FA1336"/>
    <w:rsid w:val="00FB25E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7934-2A78-4097-B4E5-3F1486FA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User</cp:lastModifiedBy>
  <cp:revision>1</cp:revision>
  <cp:lastPrinted>2021-09-24T12:02:00Z</cp:lastPrinted>
  <dcterms:created xsi:type="dcterms:W3CDTF">2022-03-22T08:26:00Z</dcterms:created>
  <dcterms:modified xsi:type="dcterms:W3CDTF">2022-06-02T07:28:00Z</dcterms:modified>
</cp:coreProperties>
</file>